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36D6E03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71DA6">
        <w:rPr>
          <w:b/>
          <w:sz w:val="24"/>
        </w:rPr>
        <w:t>On</w:t>
      </w:r>
      <w:r w:rsidR="00BF4DCF">
        <w:rPr>
          <w:b/>
          <w:sz w:val="24"/>
        </w:rPr>
        <w:t xml:space="preserve"> IVAS performance requirements</w:t>
      </w:r>
      <w:r w:rsidR="00171DA6">
        <w:rPr>
          <w:b/>
          <w:sz w:val="24"/>
        </w:rPr>
        <w:t xml:space="preserve"> and related testing aspects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032A6C0A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71DA6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  <w:bookmarkStart w:id="0" w:name="_GoBack"/>
      <w:bookmarkEnd w:id="0"/>
    </w:p>
    <w:p w14:paraId="33775041" w14:textId="0D7F6453" w:rsidR="003554B6" w:rsidRPr="0053138A" w:rsidRDefault="003554B6" w:rsidP="003554B6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3883D378" w14:textId="631638EB" w:rsidR="00A931B0" w:rsidRPr="0053138A" w:rsidRDefault="00171DA6" w:rsidP="00171DA6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 w:rsidRPr="00171DA6">
        <w:rPr>
          <w:rFonts w:eastAsia="Times New Roman" w:cs="Arial"/>
          <w:sz w:val="24"/>
          <w:szCs w:val="24"/>
          <w:lang w:val="en-US"/>
        </w:rPr>
        <w:t>The present document is a continuation of S4-190431 (which was resubmitted as AHEVS-455).</w:t>
      </w:r>
      <w:r w:rsidRPr="0053138A">
        <w:rPr>
          <w:rFonts w:eastAsia="Times New Roman" w:cs="Arial"/>
          <w:sz w:val="24"/>
          <w:szCs w:val="24"/>
          <w:lang w:val="en-US"/>
        </w:rPr>
        <w:t xml:space="preserve"> Noting that </w:t>
      </w:r>
      <w:proofErr w:type="spellStart"/>
      <w:r w:rsidRPr="0053138A">
        <w:rPr>
          <w:rFonts w:eastAsia="Times New Roman" w:cs="Arial"/>
          <w:sz w:val="24"/>
          <w:szCs w:val="24"/>
          <w:lang w:val="en-US"/>
        </w:rPr>
        <w:t>is</w:t>
      </w:r>
      <w:proofErr w:type="spellEnd"/>
      <w:r w:rsidRPr="0053138A">
        <w:rPr>
          <w:rFonts w:eastAsia="Times New Roman" w:cs="Arial"/>
          <w:sz w:val="24"/>
          <w:szCs w:val="24"/>
          <w:lang w:val="en-US"/>
        </w:rPr>
        <w:t xml:space="preserve"> may be </w:t>
      </w:r>
      <w:r w:rsidR="006E6D18">
        <w:rPr>
          <w:rFonts w:eastAsia="Times New Roman" w:cs="Arial"/>
          <w:sz w:val="24"/>
          <w:szCs w:val="24"/>
          <w:lang w:val="en-US"/>
        </w:rPr>
        <w:t>premature to agree on any performance requirement</w:t>
      </w:r>
      <w:r>
        <w:rPr>
          <w:rFonts w:eastAsia="Times New Roman" w:cs="Arial"/>
          <w:sz w:val="24"/>
          <w:szCs w:val="24"/>
          <w:lang w:val="en-US"/>
        </w:rPr>
        <w:t xml:space="preserve"> until key design constraints get settled, we focus here on </w:t>
      </w:r>
      <w:r w:rsidR="006E6D18">
        <w:rPr>
          <w:rFonts w:eastAsia="Times New Roman" w:cs="Arial"/>
          <w:sz w:val="24"/>
          <w:szCs w:val="24"/>
          <w:lang w:val="en-US"/>
        </w:rPr>
        <w:t xml:space="preserve">high-level principles </w:t>
      </w:r>
      <w:r>
        <w:rPr>
          <w:rFonts w:eastAsia="Times New Roman" w:cs="Arial"/>
          <w:sz w:val="24"/>
          <w:szCs w:val="24"/>
          <w:lang w:val="en-US"/>
        </w:rPr>
        <w:t>for</w:t>
      </w:r>
      <w:r w:rsidR="00406F7C">
        <w:rPr>
          <w:rFonts w:eastAsia="Times New Roman" w:cs="Arial"/>
          <w:sz w:val="24"/>
          <w:szCs w:val="24"/>
          <w:lang w:val="en-US"/>
        </w:rPr>
        <w:t xml:space="preserve"> reference codecs</w:t>
      </w:r>
      <w:r>
        <w:rPr>
          <w:rFonts w:eastAsia="Times New Roman" w:cs="Arial"/>
          <w:sz w:val="24"/>
          <w:szCs w:val="24"/>
          <w:lang w:val="en-US"/>
        </w:rPr>
        <w:t>, including the feedback received from the EVS SWG.</w:t>
      </w:r>
      <w:r w:rsidR="00077CEF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1D72739A" w14:textId="4AC9AB1E" w:rsidR="006E6D18" w:rsidRDefault="006E6D18" w:rsidP="00816D45"/>
    <w:p w14:paraId="35B68560" w14:textId="450CAE69" w:rsidR="006E6D18" w:rsidRDefault="006E6D18" w:rsidP="00816D4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Review of </w:t>
      </w:r>
      <w:r w:rsidR="00077CEF">
        <w:t>potential reference codecs</w:t>
      </w:r>
    </w:p>
    <w:p w14:paraId="128BC864" w14:textId="17935A6E" w:rsidR="00171DA6" w:rsidRDefault="00171DA6" w:rsidP="00171DA6">
      <w:pPr>
        <w:rPr>
          <w:lang w:val="en-US"/>
        </w:rPr>
      </w:pPr>
    </w:p>
    <w:p w14:paraId="3CAA0DCA" w14:textId="7901BA5B" w:rsidR="00171DA6" w:rsidRDefault="00171DA6" w:rsidP="00171DA6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can observe that the reference codecs are already captured in square brackets in IVAS-</w:t>
      </w:r>
      <w:r w:rsidR="0053138A">
        <w:rPr>
          <w:rFonts w:eastAsia="Times New Roman" w:cs="Arial"/>
          <w:sz w:val="24"/>
          <w:szCs w:val="24"/>
          <w:lang w:val="en-US"/>
        </w:rPr>
        <w:t>3 [1] as shown below:</w:t>
      </w:r>
    </w:p>
    <w:p w14:paraId="52572826" w14:textId="07E54808" w:rsidR="0053138A" w:rsidRDefault="0053138A" w:rsidP="00171DA6">
      <w:pPr>
        <w:rPr>
          <w:rFonts w:eastAsia="Times New Roman" w:cs="Arial"/>
          <w:sz w:val="24"/>
          <w:szCs w:val="24"/>
          <w:lang w:val="en-US"/>
        </w:rPr>
      </w:pPr>
    </w:p>
    <w:p w14:paraId="02091F65" w14:textId="58CF65FC" w:rsidR="0053138A" w:rsidRPr="0053138A" w:rsidRDefault="004E0F86" w:rsidP="004E0F86">
      <w:pPr>
        <w:jc w:val="center"/>
        <w:rPr>
          <w:rFonts w:eastAsia="Times New Roman" w:cs="Arial"/>
          <w:sz w:val="24"/>
          <w:szCs w:val="24"/>
        </w:rPr>
      </w:pPr>
      <w:r w:rsidRPr="004E0F86">
        <w:rPr>
          <w:rFonts w:eastAsia="Times New Roman" w:cs="Arial"/>
          <w:noProof/>
          <w:sz w:val="24"/>
          <w:szCs w:val="24"/>
        </w:rPr>
        <w:drawing>
          <wp:inline distT="0" distB="0" distL="0" distR="0" wp14:anchorId="27886850" wp14:editId="0870D12D">
            <wp:extent cx="4586280" cy="160365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5239" cy="160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0E6FC" w14:textId="31C5E4C4" w:rsidR="00171DA6" w:rsidRPr="004E0F86" w:rsidRDefault="004E0F86" w:rsidP="00171DA6">
      <w:pPr>
        <w:rPr>
          <w:rFonts w:eastAsia="Times New Roman" w:cs="Arial"/>
          <w:sz w:val="24"/>
          <w:szCs w:val="24"/>
          <w:lang w:val="en-US"/>
        </w:rPr>
      </w:pPr>
      <w:r w:rsidRPr="004E0F86">
        <w:rPr>
          <w:rFonts w:eastAsia="Times New Roman" w:cs="Arial"/>
          <w:sz w:val="24"/>
          <w:szCs w:val="24"/>
          <w:lang w:val="en-US"/>
        </w:rPr>
        <w:t>However, for codecs that do not support stereo or 3D audio, this does not specify how to use them to get references.</w:t>
      </w:r>
    </w:p>
    <w:p w14:paraId="2F5665A4" w14:textId="77777777" w:rsidR="004E0F86" w:rsidRPr="00171DA6" w:rsidRDefault="004E0F86" w:rsidP="00171DA6">
      <w:pPr>
        <w:rPr>
          <w:lang w:val="en-US"/>
        </w:rPr>
      </w:pPr>
    </w:p>
    <w:p w14:paraId="65C1ED7B" w14:textId="67028F42" w:rsidR="008F3EFE" w:rsidRDefault="008F3EFE" w:rsidP="008F3EFE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Reference codecs for stereo</w:t>
      </w:r>
    </w:p>
    <w:p w14:paraId="6072A32B" w14:textId="09E8744F" w:rsidR="00171DA6" w:rsidRDefault="00171DA6" w:rsidP="00816D45"/>
    <w:p w14:paraId="513AC983" w14:textId="77777777" w:rsidR="00171DA6" w:rsidRDefault="00171DA6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provide below a list of codecs that could be potentially used to set design constraints for stereo:</w:t>
      </w:r>
    </w:p>
    <w:p w14:paraId="74E3F6B5" w14:textId="2FA7D59A" w:rsidR="00171DA6" w:rsidRPr="00171DA6" w:rsidRDefault="00171DA6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Dual mono operation: </w:t>
      </w:r>
      <w:r w:rsidR="007063CD">
        <w:rPr>
          <w:rFonts w:ascii="Arial" w:eastAsia="Times New Roman" w:hAnsi="Arial" w:cs="Arial"/>
        </w:rPr>
        <w:t xml:space="preserve">AMR-WB, </w:t>
      </w:r>
      <w:r w:rsidRPr="00171DA6">
        <w:rPr>
          <w:rFonts w:ascii="Arial" w:eastAsia="Times New Roman" w:hAnsi="Arial" w:cs="Arial"/>
        </w:rPr>
        <w:t>EVS</w:t>
      </w:r>
      <w:r>
        <w:rPr>
          <w:rFonts w:ascii="Arial" w:eastAsia="Times New Roman" w:hAnsi="Arial" w:cs="Arial"/>
        </w:rPr>
        <w:t xml:space="preserve">, </w:t>
      </w:r>
      <w:r w:rsidRPr="00171DA6">
        <w:rPr>
          <w:rFonts w:ascii="Arial" w:eastAsia="Times New Roman" w:hAnsi="Arial" w:cs="Arial"/>
        </w:rPr>
        <w:t>G.222.1 and G.722.1C</w:t>
      </w:r>
      <w:r w:rsidR="003D57B5">
        <w:rPr>
          <w:rFonts w:ascii="Arial" w:eastAsia="Times New Roman" w:hAnsi="Arial" w:cs="Arial"/>
        </w:rPr>
        <w:t>, G.719</w:t>
      </w:r>
      <w:r w:rsidR="00A15587">
        <w:rPr>
          <w:rFonts w:ascii="Arial" w:eastAsia="Times New Roman" w:hAnsi="Arial" w:cs="Arial"/>
        </w:rPr>
        <w:t>, Opus</w:t>
      </w:r>
    </w:p>
    <w:p w14:paraId="434ACB9D" w14:textId="789E00A7" w:rsidR="00171DA6" w:rsidRDefault="00171DA6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M/S stereo coding</w:t>
      </w:r>
      <w:r w:rsidR="007063CD">
        <w:rPr>
          <w:rFonts w:ascii="Arial" w:eastAsia="Times New Roman" w:hAnsi="Arial" w:cs="Arial"/>
        </w:rPr>
        <w:t xml:space="preserve">: AMR-WB, </w:t>
      </w:r>
      <w:r>
        <w:rPr>
          <w:rFonts w:ascii="Arial" w:eastAsia="Times New Roman" w:hAnsi="Arial" w:cs="Arial"/>
        </w:rPr>
        <w:t>EVS, G.722.1, G.722.1C</w:t>
      </w:r>
      <w:r w:rsidR="003D57B5">
        <w:rPr>
          <w:rFonts w:ascii="Arial" w:eastAsia="Times New Roman" w:hAnsi="Arial" w:cs="Arial"/>
        </w:rPr>
        <w:t>, G.719</w:t>
      </w:r>
      <w:r w:rsidR="00285904">
        <w:rPr>
          <w:rFonts w:ascii="Arial" w:eastAsia="Times New Roman" w:hAnsi="Arial" w:cs="Arial"/>
        </w:rPr>
        <w:t xml:space="preserve"> as well as G.722 App. V and G.711.1 App. IV</w:t>
      </w:r>
    </w:p>
    <w:p w14:paraId="7722E8C8" w14:textId="1CACFF6A" w:rsidR="00171DA6" w:rsidRPr="00171DA6" w:rsidRDefault="00171DA6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Joint stereo coding: AMR-WB+, e-AAC+, G.722B</w:t>
      </w:r>
      <w:r w:rsidR="003D57B5">
        <w:rPr>
          <w:rFonts w:ascii="Arial" w:eastAsia="Times New Roman" w:hAnsi="Arial" w:cs="Arial"/>
        </w:rPr>
        <w:t>, G.711.1F</w:t>
      </w:r>
      <w:r w:rsidR="00A15587">
        <w:rPr>
          <w:rFonts w:ascii="Arial" w:eastAsia="Times New Roman" w:hAnsi="Arial" w:cs="Arial"/>
        </w:rPr>
        <w:t>, Opus</w:t>
      </w:r>
    </w:p>
    <w:p w14:paraId="39BBB18B" w14:textId="6993EF5D" w:rsidR="00171DA6" w:rsidRDefault="00171DA6" w:rsidP="00171DA6">
      <w:pPr>
        <w:rPr>
          <w:rFonts w:eastAsia="Times New Roman" w:cs="Arial"/>
        </w:rPr>
      </w:pPr>
    </w:p>
    <w:p w14:paraId="6B52AF21" w14:textId="77A46384" w:rsidR="00171DA6" w:rsidRPr="00171DA6" w:rsidRDefault="00171DA6" w:rsidP="00171DA6">
      <w:pPr>
        <w:rPr>
          <w:rFonts w:eastAsia="Times New Roman" w:cs="Arial"/>
          <w:sz w:val="24"/>
          <w:szCs w:val="24"/>
          <w:lang w:val="en-US"/>
        </w:rPr>
      </w:pPr>
      <w:r w:rsidRPr="00171DA6">
        <w:rPr>
          <w:rFonts w:eastAsia="Times New Roman" w:cs="Arial"/>
          <w:sz w:val="24"/>
          <w:szCs w:val="24"/>
          <w:lang w:val="en-US"/>
        </w:rPr>
        <w:t>Some aspects related to testing may be also discussed</w:t>
      </w:r>
      <w:r w:rsidR="007063CD">
        <w:rPr>
          <w:rFonts w:eastAsia="Times New Roman" w:cs="Arial"/>
          <w:sz w:val="24"/>
          <w:szCs w:val="24"/>
          <w:lang w:val="en-US"/>
        </w:rPr>
        <w:t>, for instance:</w:t>
      </w:r>
    </w:p>
    <w:p w14:paraId="07590D9A" w14:textId="0069B5BA" w:rsidR="00171DA6" w:rsidRPr="00171DA6" w:rsidRDefault="00171DA6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171DA6">
        <w:rPr>
          <w:rFonts w:ascii="Arial" w:eastAsia="Times New Roman" w:hAnsi="Arial" w:cs="Arial"/>
        </w:rPr>
        <w:t>Definition of SNR</w:t>
      </w:r>
    </w:p>
    <w:p w14:paraId="581DCDEF" w14:textId="6CD663E0" w:rsidR="004E0F86" w:rsidRPr="004E0F86" w:rsidRDefault="00171DA6" w:rsidP="004E0F8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171DA6">
        <w:rPr>
          <w:rFonts w:ascii="Arial" w:eastAsia="Times New Roman" w:hAnsi="Arial" w:cs="Arial"/>
        </w:rPr>
        <w:t>Definition of loudness</w:t>
      </w:r>
    </w:p>
    <w:p w14:paraId="7F2FBE01" w14:textId="28694493" w:rsidR="00171DA6" w:rsidRPr="00171DA6" w:rsidRDefault="00171DA6" w:rsidP="00171DA6">
      <w:pPr>
        <w:rPr>
          <w:rFonts w:eastAsia="Times New Roman" w:cs="Arial"/>
          <w:sz w:val="24"/>
          <w:szCs w:val="24"/>
          <w:lang w:val="en-US"/>
        </w:rPr>
      </w:pPr>
      <w:r w:rsidRPr="00171DA6">
        <w:rPr>
          <w:rFonts w:eastAsia="Times New Roman" w:cs="Arial"/>
          <w:sz w:val="24"/>
          <w:szCs w:val="24"/>
          <w:lang w:val="en-US"/>
        </w:rPr>
        <w:lastRenderedPageBreak/>
        <w:t>The associated processing tools</w:t>
      </w:r>
      <w:r w:rsidR="004E0F86">
        <w:rPr>
          <w:rFonts w:eastAsia="Times New Roman" w:cs="Arial"/>
          <w:sz w:val="24"/>
          <w:szCs w:val="24"/>
          <w:lang w:val="en-US"/>
        </w:rPr>
        <w:t xml:space="preserve"> </w:t>
      </w:r>
      <w:r w:rsidRPr="00171DA6">
        <w:rPr>
          <w:rFonts w:eastAsia="Times New Roman" w:cs="Arial"/>
          <w:sz w:val="24"/>
          <w:szCs w:val="24"/>
          <w:lang w:val="en-US"/>
        </w:rPr>
        <w:t>may also be considered.</w:t>
      </w:r>
      <w:r w:rsidR="0053138A">
        <w:rPr>
          <w:rFonts w:eastAsia="Times New Roman" w:cs="Arial"/>
          <w:sz w:val="24"/>
          <w:szCs w:val="24"/>
          <w:lang w:val="en-US"/>
        </w:rPr>
        <w:t xml:space="preserve"> Some aspects from [2] may be reused.</w:t>
      </w:r>
    </w:p>
    <w:p w14:paraId="7CD16AAF" w14:textId="03D2931C" w:rsidR="00BE0A7C" w:rsidRDefault="00BE0A7C" w:rsidP="00816D45">
      <w:pPr>
        <w:rPr>
          <w:lang w:val="en-US"/>
        </w:rPr>
      </w:pPr>
    </w:p>
    <w:p w14:paraId="185C8B5E" w14:textId="5E9075C2" w:rsidR="00130239" w:rsidRDefault="00130239" w:rsidP="00130239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Reference codecs for binaural audio</w:t>
      </w:r>
    </w:p>
    <w:p w14:paraId="0BFD9B1F" w14:textId="0DC97388" w:rsidR="00130239" w:rsidRDefault="00130239" w:rsidP="00816D45">
      <w:pPr>
        <w:rPr>
          <w:lang w:val="en-US"/>
        </w:rPr>
      </w:pPr>
    </w:p>
    <w:p w14:paraId="622D95D2" w14:textId="1A6C2E9C" w:rsidR="00130239" w:rsidRDefault="00171DA6" w:rsidP="0013023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130239">
        <w:rPr>
          <w:rFonts w:eastAsia="Times New Roman" w:cs="Arial"/>
          <w:sz w:val="24"/>
          <w:szCs w:val="24"/>
          <w:lang w:val="en-US"/>
        </w:rPr>
        <w:t>he same reference codecs as listed in section 2</w:t>
      </w:r>
      <w:r w:rsidR="00186A54">
        <w:rPr>
          <w:rFonts w:eastAsia="Times New Roman" w:cs="Arial"/>
          <w:sz w:val="24"/>
          <w:szCs w:val="24"/>
          <w:lang w:val="en-US"/>
        </w:rPr>
        <w:t xml:space="preserve">.1 </w:t>
      </w:r>
      <w:r>
        <w:rPr>
          <w:rFonts w:eastAsia="Times New Roman" w:cs="Arial"/>
          <w:sz w:val="24"/>
          <w:szCs w:val="24"/>
          <w:lang w:val="en-US"/>
        </w:rPr>
        <w:t>may be considered.</w:t>
      </w:r>
    </w:p>
    <w:p w14:paraId="22DDEBD7" w14:textId="683EB383" w:rsidR="0084614C" w:rsidRDefault="0084614C" w:rsidP="00816D45">
      <w:pPr>
        <w:rPr>
          <w:lang w:val="en-US"/>
        </w:rPr>
      </w:pPr>
    </w:p>
    <w:p w14:paraId="7A6D9208" w14:textId="6BDADEE2" w:rsidR="00641CE5" w:rsidRDefault="00641CE5" w:rsidP="00641CE5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Referenc</w:t>
      </w:r>
      <w:r w:rsidR="004E0F86">
        <w:t>e</w:t>
      </w:r>
      <w:r>
        <w:t xml:space="preserve"> codecs for </w:t>
      </w:r>
      <w:r w:rsidR="004E0F86">
        <w:t>ambisonics</w:t>
      </w:r>
    </w:p>
    <w:p w14:paraId="48798EF1" w14:textId="157BA2B5" w:rsidR="00641CE5" w:rsidRDefault="00641CE5" w:rsidP="00816D45">
      <w:pPr>
        <w:rPr>
          <w:lang w:val="en-US"/>
        </w:rPr>
      </w:pPr>
    </w:p>
    <w:p w14:paraId="72284719" w14:textId="77777777" w:rsidR="00171DA6" w:rsidRDefault="00171DA6" w:rsidP="00171DA6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provide below a list of codecs that could be potentially used to set design constraints for stereo:</w:t>
      </w:r>
    </w:p>
    <w:p w14:paraId="0007615B" w14:textId="4F7C74D7" w:rsidR="00171DA6" w:rsidRDefault="00235215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Multi-mono coding: </w:t>
      </w:r>
      <w:r w:rsidRPr="00171DA6">
        <w:rPr>
          <w:rFonts w:ascii="Arial" w:eastAsia="Times New Roman" w:hAnsi="Arial" w:cs="Arial"/>
        </w:rPr>
        <w:t>EVS</w:t>
      </w:r>
      <w:r>
        <w:rPr>
          <w:rFonts w:ascii="Arial" w:eastAsia="Times New Roman" w:hAnsi="Arial" w:cs="Arial"/>
        </w:rPr>
        <w:t xml:space="preserve">, </w:t>
      </w:r>
      <w:r w:rsidRPr="00171DA6">
        <w:rPr>
          <w:rFonts w:ascii="Arial" w:eastAsia="Times New Roman" w:hAnsi="Arial" w:cs="Arial"/>
        </w:rPr>
        <w:t>G.222.1 and G.722.1C</w:t>
      </w:r>
      <w:r>
        <w:rPr>
          <w:rFonts w:ascii="Arial" w:eastAsia="Times New Roman" w:hAnsi="Arial" w:cs="Arial"/>
        </w:rPr>
        <w:t>, G.719</w:t>
      </w:r>
    </w:p>
    <w:p w14:paraId="749B3E69" w14:textId="33CF340A" w:rsidR="00235215" w:rsidRDefault="00235215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Pre-matrixing with multi-mono or multi-stereo coding: Opus, HE-AAC extension in FS_CODVRA</w:t>
      </w:r>
    </w:p>
    <w:p w14:paraId="2F0C35C1" w14:textId="30114FEF" w:rsidR="00A15587" w:rsidRPr="001E3A00" w:rsidRDefault="00A15587" w:rsidP="00171DA6">
      <w:pPr>
        <w:pStyle w:val="Paragraphedeliste"/>
        <w:numPr>
          <w:ilvl w:val="0"/>
          <w:numId w:val="31"/>
        </w:numPr>
        <w:rPr>
          <w:rFonts w:ascii="Arial" w:eastAsia="Times New Roman" w:hAnsi="Arial" w:cs="Arial"/>
        </w:rPr>
      </w:pPr>
      <w:r w:rsidRPr="001E3A00">
        <w:rPr>
          <w:rFonts w:ascii="Arial" w:eastAsia="Times New Roman" w:hAnsi="Arial" w:cs="Arial"/>
        </w:rPr>
        <w:t xml:space="preserve">VRStream codecs </w:t>
      </w:r>
      <w:r w:rsidR="001E3A00" w:rsidRPr="001E3A00">
        <w:rPr>
          <w:rFonts w:ascii="Arial" w:eastAsia="Times New Roman" w:hAnsi="Arial" w:cs="Arial"/>
        </w:rPr>
        <w:t>depending on the</w:t>
      </w:r>
      <w:r w:rsidRPr="001E3A00">
        <w:rPr>
          <w:rFonts w:ascii="Arial" w:eastAsia="Times New Roman" w:hAnsi="Arial" w:cs="Arial"/>
        </w:rPr>
        <w:t xml:space="preserve"> availability of codec candidates: </w:t>
      </w:r>
      <w:r w:rsidR="001E3A00" w:rsidRPr="001E3A00">
        <w:rPr>
          <w:rFonts w:ascii="Arial" w:eastAsia="Times New Roman" w:hAnsi="Arial" w:cs="Arial"/>
        </w:rPr>
        <w:t xml:space="preserve">MPEG-H 3DA, MAEC, DTS-UHD, </w:t>
      </w:r>
      <w:proofErr w:type="spellStart"/>
      <w:r w:rsidRPr="001E3A00">
        <w:rPr>
          <w:rFonts w:ascii="Arial" w:eastAsia="Times New Roman" w:hAnsi="Arial" w:cs="Arial"/>
        </w:rPr>
        <w:t>spAACe</w:t>
      </w:r>
      <w:proofErr w:type="spellEnd"/>
    </w:p>
    <w:p w14:paraId="7060458F" w14:textId="59A1EF93" w:rsidR="00641CE5" w:rsidRDefault="007063CD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We suggest </w:t>
      </w:r>
      <w:r w:rsidR="00D42644">
        <w:rPr>
          <w:rFonts w:eastAsia="Times New Roman" w:cs="Arial"/>
          <w:sz w:val="24"/>
          <w:szCs w:val="24"/>
          <w:lang w:val="en-US"/>
        </w:rPr>
        <w:t>clarifying</w:t>
      </w:r>
      <w:r>
        <w:rPr>
          <w:rFonts w:eastAsia="Times New Roman" w:cs="Arial"/>
          <w:sz w:val="24"/>
          <w:szCs w:val="24"/>
          <w:lang w:val="en-US"/>
        </w:rPr>
        <w:t xml:space="preserve"> also the associated renderer to be used if no internal renderer is available. One possibility would be to use a pre</w:t>
      </w:r>
      <w:r w:rsidR="00D42644">
        <w:rPr>
          <w:rFonts w:eastAsia="Times New Roman" w:cs="Arial"/>
          <w:sz w:val="24"/>
          <w:szCs w:val="24"/>
          <w:lang w:val="en-US"/>
        </w:rPr>
        <w:t xml:space="preserve">determined rendering matrix from HOA to a defined configuration for the loudspeaker case and a binaural renderer derived from the </w:t>
      </w:r>
      <w:r w:rsidR="00D42644" w:rsidRPr="00D42644">
        <w:rPr>
          <w:rFonts w:eastAsia="Times New Roman" w:cs="Arial"/>
          <w:sz w:val="24"/>
          <w:szCs w:val="24"/>
          <w:lang w:val="en-US"/>
        </w:rPr>
        <w:t>Common Informative Binaural Renderer</w:t>
      </w:r>
      <w:r w:rsidR="00D42644">
        <w:rPr>
          <w:rFonts w:eastAsia="Times New Roman" w:cs="Arial"/>
          <w:sz w:val="24"/>
          <w:szCs w:val="24"/>
          <w:lang w:val="en-US"/>
        </w:rPr>
        <w:t xml:space="preserve"> (CIBR) used in VRStream</w:t>
      </w:r>
      <w:r>
        <w:rPr>
          <w:rFonts w:eastAsia="Times New Roman" w:cs="Arial"/>
          <w:sz w:val="24"/>
          <w:szCs w:val="24"/>
          <w:lang w:val="en-US"/>
        </w:rPr>
        <w:t xml:space="preserve">, however modifications </w:t>
      </w:r>
      <w:r w:rsidR="00D42644">
        <w:rPr>
          <w:rFonts w:eastAsia="Times New Roman" w:cs="Arial"/>
          <w:sz w:val="24"/>
          <w:szCs w:val="24"/>
          <w:lang w:val="en-US"/>
        </w:rPr>
        <w:t xml:space="preserve">to CIBR would </w:t>
      </w:r>
      <w:r>
        <w:rPr>
          <w:rFonts w:eastAsia="Times New Roman" w:cs="Arial"/>
          <w:sz w:val="24"/>
          <w:szCs w:val="24"/>
          <w:lang w:val="en-US"/>
        </w:rPr>
        <w:t>be required</w:t>
      </w:r>
      <w:r w:rsidR="00A47BC5">
        <w:rPr>
          <w:rFonts w:eastAsia="Times New Roman" w:cs="Arial"/>
          <w:sz w:val="24"/>
          <w:szCs w:val="24"/>
          <w:lang w:val="en-US"/>
        </w:rPr>
        <w:t xml:space="preserve"> for instance</w:t>
      </w:r>
      <w:r>
        <w:rPr>
          <w:rFonts w:eastAsia="Times New Roman" w:cs="Arial"/>
          <w:sz w:val="24"/>
          <w:szCs w:val="24"/>
          <w:lang w:val="en-US"/>
        </w:rPr>
        <w:t xml:space="preserve"> to enable flexible HRTFs/BRIRs to be used.</w:t>
      </w:r>
    </w:p>
    <w:p w14:paraId="5A5C5BB8" w14:textId="77777777" w:rsidR="004E0F86" w:rsidRDefault="004E0F86" w:rsidP="00816D45">
      <w:pPr>
        <w:rPr>
          <w:rFonts w:eastAsia="Times New Roman" w:cs="Arial"/>
          <w:sz w:val="24"/>
          <w:szCs w:val="24"/>
          <w:lang w:val="en-US"/>
        </w:rPr>
      </w:pPr>
    </w:p>
    <w:p w14:paraId="1DC12E8A" w14:textId="41AD614D" w:rsidR="004E0F86" w:rsidRDefault="004E0F86" w:rsidP="004E0F86">
      <w:pPr>
        <w:pStyle w:val="Titre2"/>
        <w:widowControl/>
        <w:numPr>
          <w:ilvl w:val="1"/>
          <w:numId w:val="9"/>
        </w:numPr>
        <w:tabs>
          <w:tab w:val="clear" w:pos="2127"/>
        </w:tabs>
        <w:spacing w:before="240" w:after="0" w:line="240" w:lineRule="auto"/>
      </w:pPr>
      <w:r>
        <w:t>Reference codecs for channel-based (other than stereo) and object-based audio</w:t>
      </w:r>
    </w:p>
    <w:p w14:paraId="481475FF" w14:textId="337A9F9D" w:rsidR="00186A54" w:rsidRDefault="00186A54" w:rsidP="00816D45">
      <w:pPr>
        <w:rPr>
          <w:rFonts w:eastAsia="Times New Roman" w:cs="Arial"/>
          <w:sz w:val="24"/>
          <w:szCs w:val="24"/>
          <w:lang w:val="en-US"/>
        </w:rPr>
      </w:pPr>
    </w:p>
    <w:p w14:paraId="024A1F4F" w14:textId="54AB06E5" w:rsidR="004E0F86" w:rsidRDefault="004E0F86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This part is not covered here as multichannel audio configurations are not clear yet and the object audio definition is missing.</w:t>
      </w:r>
    </w:p>
    <w:p w14:paraId="1DF0A74C" w14:textId="77777777" w:rsidR="004E0F86" w:rsidRPr="004225A3" w:rsidRDefault="004E0F86" w:rsidP="00816D45">
      <w:pPr>
        <w:rPr>
          <w:rFonts w:eastAsia="Times New Roman" w:cs="Arial"/>
          <w:sz w:val="24"/>
          <w:szCs w:val="24"/>
          <w:lang w:val="en-US"/>
        </w:rPr>
      </w:pPr>
    </w:p>
    <w:p w14:paraId="37C8AA95" w14:textId="1C75716D" w:rsidR="00996A3A" w:rsidRDefault="006958E9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467AA402" w14:textId="78C3C7FA" w:rsidR="00292BA2" w:rsidRDefault="00292BA2" w:rsidP="00292BA2">
      <w:pPr>
        <w:rPr>
          <w:lang w:val="en-US"/>
        </w:rPr>
      </w:pPr>
    </w:p>
    <w:p w14:paraId="7B2C2E77" w14:textId="3F9827C4" w:rsidR="00641CE5" w:rsidRDefault="00171DA6" w:rsidP="00641CE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We propose to include update the list of </w:t>
      </w:r>
      <w:r w:rsidR="0053138A">
        <w:rPr>
          <w:rFonts w:eastAsia="Times New Roman" w:cs="Arial"/>
          <w:sz w:val="24"/>
          <w:szCs w:val="24"/>
          <w:lang w:val="en-US"/>
        </w:rPr>
        <w:t>reference codecs in [1].</w:t>
      </w:r>
    </w:p>
    <w:p w14:paraId="7D272A05" w14:textId="77777777" w:rsidR="00077CEF" w:rsidRPr="00171DA6" w:rsidRDefault="00077CEF" w:rsidP="00A80719">
      <w:pPr>
        <w:rPr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BB34EB5" w14:textId="5AE89932" w:rsidR="00947BE9" w:rsidRDefault="00947BE9" w:rsidP="00947BE9">
      <w:pPr>
        <w:rPr>
          <w:lang w:val="en-US"/>
        </w:rPr>
      </w:pPr>
    </w:p>
    <w:p w14:paraId="2849E7D6" w14:textId="728A74D3" w:rsidR="0053138A" w:rsidRPr="0053138A" w:rsidRDefault="0053138A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S4-181219, IVAS Performance Requirements (IVAS-3), v0.0.3, Source: Editor (Dolby)</w:t>
      </w:r>
    </w:p>
    <w:p w14:paraId="4705A700" w14:textId="1AE68751" w:rsidR="00DC30A2" w:rsidRPr="00DC30A2" w:rsidRDefault="00DC30A2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 xml:space="preserve">TD 123 (WP3/16), </w:t>
      </w:r>
      <w:proofErr w:type="spellStart"/>
      <w:r w:rsidRPr="00DC30A2">
        <w:rPr>
          <w:rFonts w:ascii="Arial" w:eastAsia="Times New Roman" w:hAnsi="Arial" w:cs="Arial"/>
        </w:rPr>
        <w:t>Optimisation</w:t>
      </w:r>
      <w:proofErr w:type="spellEnd"/>
      <w:r w:rsidRPr="00DC30A2">
        <w:rPr>
          <w:rFonts w:ascii="Arial" w:eastAsia="Times New Roman" w:hAnsi="Arial" w:cs="Arial"/>
        </w:rPr>
        <w:t xml:space="preserve">/characterization Quality Assessment Test Plan for the </w:t>
      </w:r>
      <w:proofErr w:type="spellStart"/>
      <w:r w:rsidRPr="00DC30A2">
        <w:rPr>
          <w:rFonts w:ascii="Arial" w:eastAsia="Times New Roman" w:hAnsi="Arial" w:cs="Arial"/>
        </w:rPr>
        <w:t>Superwideband</w:t>
      </w:r>
      <w:proofErr w:type="spellEnd"/>
      <w:r w:rsidRPr="00DC30A2">
        <w:rPr>
          <w:rFonts w:ascii="Arial" w:eastAsia="Times New Roman" w:hAnsi="Arial" w:cs="Arial"/>
        </w:rPr>
        <w:t xml:space="preserve"> stereo/mono extension to ITUT-T G.711.1 and G.722, Study Period 2009-2012, Geneva, 19-30 July 2010, Source: Rapporteur Q.10/16. </w:t>
      </w:r>
    </w:p>
    <w:p w14:paraId="6532B6C7" w14:textId="77777777" w:rsidR="00947BE9" w:rsidRPr="00DC30A2" w:rsidRDefault="00947BE9" w:rsidP="00947BE9">
      <w:pPr>
        <w:rPr>
          <w:lang w:val="en-US"/>
        </w:rPr>
      </w:pPr>
    </w:p>
    <w:p w14:paraId="58B25EA4" w14:textId="38F752FC" w:rsidR="00A931B0" w:rsidRPr="00DC30A2" w:rsidRDefault="00A931B0" w:rsidP="00947BE9">
      <w:pPr>
        <w:pStyle w:val="Titre1"/>
        <w:rPr>
          <w:b/>
          <w:lang w:val="en-US"/>
        </w:rPr>
      </w:pPr>
    </w:p>
    <w:sectPr w:rsidR="00A931B0" w:rsidRPr="00DC30A2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64BE2" w14:textId="77777777" w:rsidR="001E0D18" w:rsidRDefault="001E0D18">
      <w:r>
        <w:separator/>
      </w:r>
    </w:p>
  </w:endnote>
  <w:endnote w:type="continuationSeparator" w:id="0">
    <w:p w14:paraId="39AA41C9" w14:textId="77777777" w:rsidR="001E0D18" w:rsidRDefault="001E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7801F" w14:textId="77777777" w:rsidR="001E0D18" w:rsidRDefault="001E0D18">
      <w:r>
        <w:separator/>
      </w:r>
    </w:p>
  </w:footnote>
  <w:footnote w:type="continuationSeparator" w:id="0">
    <w:p w14:paraId="390EEA19" w14:textId="77777777" w:rsidR="001E0D18" w:rsidRDefault="001E0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0BDC8" w14:textId="1A20BA53" w:rsidR="00171DA6" w:rsidRPr="0084724A" w:rsidRDefault="00171DA6" w:rsidP="00171DA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104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EB4D94" w:rsidRPr="00EB4D94">
      <w:rPr>
        <w:rFonts w:cs="Arial"/>
        <w:b/>
        <w:i/>
        <w:sz w:val="28"/>
        <w:szCs w:val="28"/>
      </w:rPr>
      <w:t>730</w:t>
    </w:r>
  </w:p>
  <w:p w14:paraId="54817A2A" w14:textId="19EDA169" w:rsidR="00D91A7D" w:rsidRPr="00BE1693" w:rsidRDefault="00171DA6" w:rsidP="00171DA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</w:t>
    </w:r>
    <w:r w:rsidRPr="00877688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– 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July 2019, Cork, Republic of Ireland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A57E0"/>
    <w:multiLevelType w:val="hybridMultilevel"/>
    <w:tmpl w:val="124C410A"/>
    <w:lvl w:ilvl="0" w:tplc="41523A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0"/>
  </w:num>
  <w:num w:numId="4">
    <w:abstractNumId w:val="12"/>
  </w:num>
  <w:num w:numId="5">
    <w:abstractNumId w:val="19"/>
  </w:num>
  <w:num w:numId="6">
    <w:abstractNumId w:val="23"/>
  </w:num>
  <w:num w:numId="7">
    <w:abstractNumId w:val="11"/>
  </w:num>
  <w:num w:numId="8">
    <w:abstractNumId w:val="25"/>
  </w:num>
  <w:num w:numId="9">
    <w:abstractNumId w:val="9"/>
  </w:num>
  <w:num w:numId="10">
    <w:abstractNumId w:val="6"/>
  </w:num>
  <w:num w:numId="11">
    <w:abstractNumId w:val="24"/>
  </w:num>
  <w:num w:numId="12">
    <w:abstractNumId w:val="8"/>
  </w:num>
  <w:num w:numId="13">
    <w:abstractNumId w:val="30"/>
  </w:num>
  <w:num w:numId="14">
    <w:abstractNumId w:val="28"/>
  </w:num>
  <w:num w:numId="15">
    <w:abstractNumId w:val="20"/>
  </w:num>
  <w:num w:numId="16">
    <w:abstractNumId w:val="5"/>
  </w:num>
  <w:num w:numId="17">
    <w:abstractNumId w:val="18"/>
  </w:num>
  <w:num w:numId="18">
    <w:abstractNumId w:val="7"/>
  </w:num>
  <w:num w:numId="19">
    <w:abstractNumId w:val="13"/>
  </w:num>
  <w:num w:numId="20">
    <w:abstractNumId w:val="4"/>
  </w:num>
  <w:num w:numId="21">
    <w:abstractNumId w:val="21"/>
  </w:num>
  <w:num w:numId="22">
    <w:abstractNumId w:val="22"/>
  </w:num>
  <w:num w:numId="23">
    <w:abstractNumId w:val="1"/>
  </w:num>
  <w:num w:numId="24">
    <w:abstractNumId w:val="3"/>
  </w:num>
  <w:num w:numId="25">
    <w:abstractNumId w:val="17"/>
  </w:num>
  <w:num w:numId="26">
    <w:abstractNumId w:val="16"/>
  </w:num>
  <w:num w:numId="27">
    <w:abstractNumId w:val="2"/>
  </w:num>
  <w:num w:numId="28">
    <w:abstractNumId w:val="14"/>
  </w:num>
  <w:num w:numId="29">
    <w:abstractNumId w:val="15"/>
  </w:num>
  <w:num w:numId="30">
    <w:abstractNumId w:val="26"/>
  </w:num>
  <w:num w:numId="31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1DA6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F1"/>
    <w:rsid w:val="00185584"/>
    <w:rsid w:val="00186252"/>
    <w:rsid w:val="00186975"/>
    <w:rsid w:val="00186A54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10F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0D18"/>
    <w:rsid w:val="001E189D"/>
    <w:rsid w:val="001E20BF"/>
    <w:rsid w:val="001E2662"/>
    <w:rsid w:val="001E2E0B"/>
    <w:rsid w:val="001E3A00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15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5904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5D78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7B5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0F86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38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3CD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587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47BC5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644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4D94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27CF6-63E1-8B4D-8CE9-7F39B0AF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2386</Characters>
  <Application>Microsoft Office Word</Application>
  <DocSecurity>0</DocSecurity>
  <Lines>38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2019-04-02T07:32:00Z</dcterms:created>
  <dcterms:modified xsi:type="dcterms:W3CDTF">2019-06-25T20:19:00Z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